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2B73B70E" w:rsidR="00F422D3" w:rsidRDefault="001E44D1" w:rsidP="00B42F40">
      <w:pPr>
        <w:pStyle w:val="Titul1"/>
      </w:pPr>
      <w:bookmarkStart w:id="0" w:name="_GoBack"/>
      <w:bookmarkEnd w:id="0"/>
      <w:r>
        <w:t>KUPNÍ SMLOUVA</w:t>
      </w:r>
      <w:r w:rsidR="00485CE8">
        <w:t xml:space="preserve"> </w:t>
      </w:r>
    </w:p>
    <w:p w14:paraId="2FF71BCE" w14:textId="7C24DC86" w:rsidR="00F422D3" w:rsidRDefault="00F422D3" w:rsidP="00B42F40">
      <w:pPr>
        <w:pStyle w:val="Titul2"/>
      </w:pPr>
      <w:r>
        <w:t>Název zakázky: „</w:t>
      </w:r>
      <w:r w:rsidR="008B16A4" w:rsidRPr="008B16A4">
        <w:t xml:space="preserve">Digitální měřící přístroj pro měření </w:t>
      </w:r>
      <w:proofErr w:type="spellStart"/>
      <w:r w:rsidR="008B16A4" w:rsidRPr="008B16A4">
        <w:t>přestavníkových</w:t>
      </w:r>
      <w:proofErr w:type="spellEnd"/>
      <w:r w:rsidR="008B16A4" w:rsidRPr="008B16A4">
        <w:t xml:space="preserve"> sil ve výhybkách</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8B16A4">
        <w:t xml:space="preserve">pověření č. </w:t>
      </w:r>
      <w:r w:rsidR="0010127F" w:rsidRPr="008B16A4">
        <w:t>3146</w:t>
      </w:r>
      <w:r w:rsidRPr="008B16A4">
        <w:t xml:space="preserve"> ze dne </w:t>
      </w:r>
      <w:r w:rsidR="0010127F" w:rsidRPr="008B16A4">
        <w:t>15</w:t>
      </w:r>
      <w:r w:rsidRPr="008B16A4">
        <w:t xml:space="preserve">. </w:t>
      </w:r>
      <w:r w:rsidR="0010127F" w:rsidRPr="008B16A4">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2068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62D8D540" w:rsidR="00F422D3" w:rsidRPr="00615D83" w:rsidRDefault="00615D83" w:rsidP="00AF2741">
      <w:pPr>
        <w:pStyle w:val="Textbezodsazen"/>
        <w:spacing w:after="0"/>
        <w:rPr>
          <w:bCs/>
        </w:rPr>
      </w:pPr>
      <w:r w:rsidRPr="00615D83">
        <w:rPr>
          <w:bCs/>
        </w:rPr>
        <w:t xml:space="preserve">číslo </w:t>
      </w:r>
      <w:r w:rsidR="003F2CE4" w:rsidRPr="00615D83">
        <w:rPr>
          <w:bCs/>
        </w:rPr>
        <w:t>ISPROFOND:</w:t>
      </w:r>
      <w:r w:rsidR="003F2CE4" w:rsidRPr="003F2CE4">
        <w:rPr>
          <w:b/>
          <w:bCs/>
        </w:rPr>
        <w:t xml:space="preserve"> 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bookmarkStart w:id="1" w:name="_Hlk165566363"/>
      <w:r w:rsidRPr="00374B40">
        <w:rPr>
          <w:rStyle w:val="Tun"/>
          <w:b w:val="0"/>
          <w:bCs/>
          <w:highlight w:val="yellow"/>
        </w:rPr>
        <w:t>PRODÁVAJÍCÍ</w:t>
      </w:r>
      <w:bookmarkEnd w:id="1"/>
      <w:r w:rsidRPr="00B42F40">
        <w:t xml:space="preserve">]" </w:t>
      </w:r>
    </w:p>
    <w:p w14:paraId="4E57517C" w14:textId="03699C9A"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proofErr w:type="gramStart"/>
      <w:r w:rsidR="00DA2DD4" w:rsidRPr="00374B40">
        <w:rPr>
          <w:rStyle w:val="Tun"/>
          <w:b w:val="0"/>
          <w:bCs/>
          <w:highlight w:val="yellow"/>
        </w:rPr>
        <w:t>PRODÁVAJÍCÍ</w:t>
      </w:r>
      <w:r w:rsidR="00DA2DD4" w:rsidRPr="00B42F40" w:rsidDel="00DA2DD4">
        <w:rPr>
          <w:highlight w:val="yellow"/>
        </w:rPr>
        <w:t xml:space="preserve"> </w:t>
      </w:r>
      <w:r w:rsidRPr="00B42F40">
        <w:t>]</w:t>
      </w:r>
      <w:proofErr w:type="gramEnd"/>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 xml:space="preserve">s </w:t>
      </w:r>
      <w:proofErr w:type="spellStart"/>
      <w:r w:rsidRPr="00615D83">
        <w:t>ust</w:t>
      </w:r>
      <w:proofErr w:type="spellEnd"/>
      <w:r w:rsidRPr="00615D83">
        <w: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12999B4B"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8B16A4" w:rsidRPr="008B16A4">
        <w:rPr>
          <w:b/>
          <w:color w:val="000000"/>
        </w:rPr>
        <w:t xml:space="preserve">Digitální měřící přístroj pro měření </w:t>
      </w:r>
      <w:proofErr w:type="spellStart"/>
      <w:r w:rsidR="008B16A4" w:rsidRPr="008B16A4">
        <w:rPr>
          <w:b/>
          <w:color w:val="000000"/>
        </w:rPr>
        <w:t>přestavníkových</w:t>
      </w:r>
      <w:proofErr w:type="spellEnd"/>
      <w:r w:rsidR="008B16A4" w:rsidRPr="008B16A4">
        <w:rPr>
          <w:b/>
          <w:color w:val="000000"/>
        </w:rPr>
        <w:t xml:space="preserve"> sil ve výhybkách</w:t>
      </w:r>
      <w:r w:rsidRPr="00F73272">
        <w:rPr>
          <w:lang w:eastAsia="cs-CZ"/>
        </w:rPr>
        <w:t xml:space="preserve">“, ev. č. veřejné zakázky </w:t>
      </w:r>
      <w:r w:rsidRPr="008B16A4">
        <w:rPr>
          <w:lang w:eastAsia="cs-CZ"/>
        </w:rPr>
        <w:t xml:space="preserve">zadavatele: </w:t>
      </w:r>
      <w:r w:rsidRPr="008B16A4">
        <w:rPr>
          <w:b/>
          <w:lang w:eastAsia="cs-CZ"/>
        </w:rPr>
        <w:t>635</w:t>
      </w:r>
      <w:r w:rsidR="008B16A4" w:rsidRPr="008B16A4">
        <w:rPr>
          <w:b/>
          <w:lang w:eastAsia="cs-CZ"/>
        </w:rPr>
        <w:t>24069</w:t>
      </w:r>
      <w:r w:rsidRPr="008B16A4">
        <w:rPr>
          <w:rFonts w:eastAsia="Times New Roman" w:cs="Times New Roman"/>
          <w:lang w:eastAsia="cs-CZ"/>
        </w:rPr>
        <w:t xml:space="preserve"> </w:t>
      </w:r>
      <w:r w:rsidRPr="008B16A4">
        <w:rPr>
          <w:lang w:eastAsia="cs-CZ"/>
        </w:rPr>
        <w:t>(dále</w:t>
      </w:r>
      <w:r w:rsidRPr="004E19DE">
        <w:rPr>
          <w:lang w:eastAsia="cs-CZ"/>
        </w:rPr>
        <w:t xml:space="preserv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83BD5">
      <w:pPr>
        <w:pStyle w:val="Nadpis1-1"/>
      </w:pPr>
      <w:r w:rsidRPr="007C34D3">
        <w:t>PŘEDMĚT</w:t>
      </w:r>
      <w:r w:rsidR="00FE6762" w:rsidRPr="007C34D3">
        <w:t xml:space="preserve"> koupě</w:t>
      </w:r>
    </w:p>
    <w:p w14:paraId="3F732A2D" w14:textId="05A97BD1" w:rsidR="00F24489" w:rsidRPr="00F97DBD" w:rsidRDefault="00615D83" w:rsidP="00F24489">
      <w:pPr>
        <w:pStyle w:val="Text1-1"/>
      </w:pPr>
      <w:r>
        <w:t>Předmětem koupě j</w:t>
      </w:r>
      <w:r w:rsidR="00DA2DD4">
        <w:t>sou</w:t>
      </w:r>
      <w:r>
        <w:t xml:space="preserve"> </w:t>
      </w:r>
      <w:r w:rsidR="008B16A4" w:rsidRPr="008B16A4">
        <w:t xml:space="preserve">4 ks digitálních měřících přístrojů pro měření </w:t>
      </w:r>
      <w:proofErr w:type="spellStart"/>
      <w:r w:rsidR="008B16A4" w:rsidRPr="008B16A4">
        <w:t>přestavníkových</w:t>
      </w:r>
      <w:proofErr w:type="spellEnd"/>
      <w:r w:rsidR="008B16A4" w:rsidRPr="008B16A4">
        <w:t xml:space="preserve"> sil ve výhybkách</w:t>
      </w:r>
      <w:r>
        <w:t xml:space="preserve"> </w:t>
      </w:r>
      <w:r w:rsidR="008B16A4" w:rsidRPr="008B16A4">
        <w:t xml:space="preserve">pro zajištění údržby železniční dopravní infrastruktury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3F2CE4" w:rsidRDefault="00615D83" w:rsidP="00FB565A">
      <w:pPr>
        <w:pStyle w:val="Text1-1"/>
        <w:rPr>
          <w:rFonts w:eastAsia="Times New Roman" w:cs="Times New Roman"/>
          <w:lang w:eastAsia="cs-CZ"/>
        </w:rPr>
      </w:pPr>
      <w:r w:rsidRPr="003F2CE4">
        <w:rPr>
          <w:rFonts w:eastAsia="Times New Roman" w:cs="Times New Roman"/>
          <w:lang w:eastAsia="cs-CZ"/>
        </w:rPr>
        <w:t>Jakost ani provedení Předmětu koupě není určeno vzorkem ani předlohou.</w:t>
      </w:r>
    </w:p>
    <w:p w14:paraId="60DE4F78" w14:textId="25BC739F" w:rsidR="00FB565A" w:rsidRPr="003F2CE4" w:rsidRDefault="00615D83" w:rsidP="00615D83">
      <w:pPr>
        <w:pStyle w:val="Text1-1"/>
      </w:pPr>
      <w:r w:rsidRPr="003F2CE4">
        <w:rPr>
          <w:rFonts w:eastAsia="Times New Roman" w:cs="Times New Roman"/>
          <w:lang w:eastAsia="cs-CZ"/>
        </w:rPr>
        <w:t>Součástí Předmětu koupě je rovněž</w:t>
      </w:r>
      <w:r w:rsidR="00FB565A" w:rsidRPr="003F2CE4">
        <w:rPr>
          <w:rFonts w:eastAsia="Times New Roman" w:cs="Times New Roman"/>
          <w:lang w:eastAsia="cs-CZ"/>
        </w:rPr>
        <w:t xml:space="preserve">: </w:t>
      </w:r>
    </w:p>
    <w:p w14:paraId="34FB1CAE" w14:textId="5364633D" w:rsidR="00FB565A" w:rsidRPr="003F2CE4" w:rsidRDefault="008B16A4" w:rsidP="00FB565A">
      <w:pPr>
        <w:pStyle w:val="Text1-2"/>
      </w:pPr>
      <w:r w:rsidRPr="003F2CE4">
        <w:rPr>
          <w:lang w:eastAsia="cs-CZ"/>
        </w:rPr>
        <w:t>vyhotovení a předání příslušných Dokladů</w:t>
      </w:r>
      <w:r w:rsidR="003F2CE4" w:rsidRPr="003F2CE4">
        <w:rPr>
          <w:lang w:eastAsia="cs-CZ"/>
        </w:rPr>
        <w:t>.</w:t>
      </w:r>
    </w:p>
    <w:p w14:paraId="6937ABB3" w14:textId="6F2A4DFB" w:rsidR="00FB565A" w:rsidRPr="003F2CE4" w:rsidRDefault="008B16A4" w:rsidP="00FB565A">
      <w:pPr>
        <w:pStyle w:val="Text1-2"/>
      </w:pPr>
      <w:r w:rsidRPr="003F2CE4">
        <w:rPr>
          <w:lang w:eastAsia="cs-CZ"/>
        </w:rPr>
        <w:t>doprava Předmětu koupě do Místa plnění</w:t>
      </w:r>
      <w:r w:rsidR="003F2CE4" w:rsidRPr="003F2CE4">
        <w:rPr>
          <w:lang w:eastAsia="cs-CZ"/>
        </w:rP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0876450E" w:rsidR="00454369" w:rsidRPr="003F2CE4" w:rsidRDefault="003F2CE4" w:rsidP="00FB565A">
      <w:pPr>
        <w:pStyle w:val="Text1-1"/>
        <w:rPr>
          <w:lang w:eastAsia="cs-CZ"/>
        </w:rPr>
      </w:pPr>
      <w:r w:rsidRPr="003F2CE4">
        <w:rPr>
          <w:lang w:eastAsia="cs-CZ"/>
        </w:rPr>
        <w:t>Neobsazeno</w:t>
      </w:r>
      <w:r w:rsidR="00454369" w:rsidRPr="003F2CE4">
        <w:t>.</w:t>
      </w:r>
    </w:p>
    <w:p w14:paraId="1AD37E7C" w14:textId="6BF396D0" w:rsidR="00454369" w:rsidRPr="003F2CE4" w:rsidRDefault="00FB565A" w:rsidP="00FB565A">
      <w:pPr>
        <w:pStyle w:val="Text1-1"/>
        <w:rPr>
          <w:lang w:eastAsia="cs-CZ"/>
        </w:rPr>
      </w:pPr>
      <w:r w:rsidRPr="003F2CE4">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3F2CE4">
        <w:rPr>
          <w:lang w:eastAsia="cs-CZ"/>
        </w:rPr>
        <w:t>3</w:t>
      </w:r>
      <w:r w:rsidRPr="003F2CE4">
        <w:rPr>
          <w:lang w:eastAsia="cs-CZ"/>
        </w:rPr>
        <w:t xml:space="preserve">, odst. </w:t>
      </w:r>
      <w:r w:rsidR="00F34FAC" w:rsidRPr="003F2CE4">
        <w:rPr>
          <w:lang w:eastAsia="cs-CZ"/>
        </w:rPr>
        <w:t>3</w:t>
      </w:r>
      <w:r w:rsidRPr="003F2CE4">
        <w:rPr>
          <w:lang w:eastAsia="cs-CZ"/>
        </w:rPr>
        <w:t xml:space="preserve">.1 této Smlouvy. Předání a převzetí Předmětu koupě bude stvrzeno oběma Smluvními stranami podpisem Předávacího protokolu (dodacího listu). </w:t>
      </w:r>
    </w:p>
    <w:p w14:paraId="35CD592B" w14:textId="47244C0A" w:rsidR="00FB565A" w:rsidRPr="00DA2DD4" w:rsidRDefault="00DA2DD4" w:rsidP="00FB565A">
      <w:pPr>
        <w:pStyle w:val="Text1-1"/>
        <w:rPr>
          <w:lang w:eastAsia="cs-CZ"/>
        </w:rPr>
      </w:pPr>
      <w:bookmarkStart w:id="2" w:name="_Hlk165566700"/>
      <w:r w:rsidRPr="0062068D">
        <w:rPr>
          <w:lang w:eastAsia="cs-CZ"/>
        </w:rPr>
        <w:t>Smluvní strany nepřipouští možnost plnění Předmětu koupě po částech.</w:t>
      </w:r>
      <w:bookmarkEnd w:id="2"/>
      <w:r w:rsidRPr="0062068D">
        <w:rPr>
          <w:lang w:eastAsia="cs-CZ"/>
        </w:rPr>
        <w:t xml:space="preserve"> </w:t>
      </w:r>
    </w:p>
    <w:p w14:paraId="0C557603" w14:textId="32FAB3C6" w:rsidR="00FB565A" w:rsidRPr="00F4008F" w:rsidRDefault="00FB565A" w:rsidP="00FB565A">
      <w:pPr>
        <w:pStyle w:val="Text1-1"/>
        <w:rPr>
          <w:lang w:eastAsia="cs-CZ"/>
        </w:rPr>
      </w:pPr>
      <w:r w:rsidRPr="003F2CE4">
        <w:rPr>
          <w:lang w:eastAsia="cs-CZ"/>
        </w:rPr>
        <w:t xml:space="preserve">Kupní cena bude Kupujícím uhrazena na základě </w:t>
      </w:r>
      <w:r w:rsidR="00106B57" w:rsidRPr="003F2CE4">
        <w:rPr>
          <w:lang w:eastAsia="cs-CZ"/>
        </w:rPr>
        <w:t>Výzvy k úhradě (</w:t>
      </w:r>
      <w:r w:rsidRPr="003F2CE4">
        <w:rPr>
          <w:lang w:eastAsia="cs-CZ"/>
        </w:rPr>
        <w:t xml:space="preserve">daňového </w:t>
      </w:r>
      <w:r w:rsidR="003F2CE4" w:rsidRPr="003F2CE4">
        <w:rPr>
          <w:lang w:eastAsia="cs-CZ"/>
        </w:rPr>
        <w:t>dokladu – faktury</w:t>
      </w:r>
      <w:r w:rsidRPr="003F2CE4">
        <w:rPr>
          <w:lang w:eastAsia="cs-CZ"/>
        </w:rPr>
        <w:t xml:space="preserve">) vystavené Prodávajícím se splatností 60 kalendářních dnů od data doručení </w:t>
      </w:r>
      <w:r w:rsidR="00106B57" w:rsidRPr="003F2CE4">
        <w:rPr>
          <w:lang w:eastAsia="cs-CZ"/>
        </w:rPr>
        <w:t>Výzvy k úhradě</w:t>
      </w:r>
      <w:r w:rsidRPr="003F2CE4">
        <w:rPr>
          <w:lang w:eastAsia="cs-CZ"/>
        </w:rPr>
        <w:t xml:space="preserve"> Kupujícímu, a to převodním příkazem</w:t>
      </w:r>
      <w:r w:rsidRPr="00F4008F">
        <w:rPr>
          <w:lang w:eastAsia="cs-CZ"/>
        </w:rPr>
        <w:t xml:space="preserve">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 xml:space="preserve">upujícímu pouze </w:t>
      </w:r>
      <w:r w:rsidRPr="00185DDD">
        <w:lastRenderedPageBreak/>
        <w:t>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FE25D72" w:rsidR="00454369" w:rsidRDefault="00F24489" w:rsidP="00F24489">
      <w:pPr>
        <w:pStyle w:val="Text1-1"/>
      </w:pPr>
      <w:r w:rsidRPr="00F97DBD">
        <w:t xml:space="preserve">Místo </w:t>
      </w:r>
      <w:r w:rsidR="00454369">
        <w:t xml:space="preserve">dodání je: </w:t>
      </w:r>
      <w:r w:rsidR="003F2CE4" w:rsidRPr="003F2CE4">
        <w:t>Správa železnic, státní organizace,</w:t>
      </w:r>
      <w:r w:rsidR="003F2CE4">
        <w:t xml:space="preserve"> Muglinovská 1038/5, 702 00 Ostrava</w:t>
      </w:r>
    </w:p>
    <w:p w14:paraId="2AAB0962" w14:textId="2DF02579" w:rsidR="00F24489" w:rsidRPr="003F2CE4" w:rsidRDefault="00454369" w:rsidP="00F24489">
      <w:pPr>
        <w:pStyle w:val="Text1-1"/>
      </w:pPr>
      <w:r w:rsidRPr="003F2CE4">
        <w:t xml:space="preserve">Předmět koupě bude dodán v termínu: nejpozději do </w:t>
      </w:r>
      <w:r w:rsidR="003F2CE4" w:rsidRPr="003F2CE4">
        <w:rPr>
          <w:b/>
          <w:bCs/>
        </w:rPr>
        <w:t>30. 11</w:t>
      </w:r>
      <w:r w:rsidRPr="003F2CE4">
        <w:rPr>
          <w:b/>
        </w:rPr>
        <w:t>.</w:t>
      </w:r>
      <w:r w:rsidR="003F2CE4" w:rsidRPr="003F2CE4">
        <w:rPr>
          <w:b/>
        </w:rPr>
        <w:t xml:space="preserve"> 2024</w:t>
      </w:r>
    </w:p>
    <w:p w14:paraId="355BFEBF" w14:textId="5CEC66BB" w:rsidR="00454369" w:rsidRDefault="00454369" w:rsidP="00F24489">
      <w:pPr>
        <w:pStyle w:val="Text1-1"/>
      </w:pPr>
      <w:r>
        <w:rPr>
          <w:rFonts w:eastAsia="Times New Roman" w:cs="Times New Roman"/>
          <w:lang w:eastAsia="cs-CZ"/>
        </w:rPr>
        <w:t xml:space="preserve">Prodávající se </w:t>
      </w:r>
      <w:r w:rsidRPr="003F2CE4">
        <w:rPr>
          <w:rFonts w:eastAsia="Times New Roman" w:cs="Times New Roman"/>
          <w:lang w:eastAsia="cs-CZ"/>
        </w:rPr>
        <w:t xml:space="preserve">zavazuje avizovat dodávku Předmětu koupě nejpozději </w:t>
      </w:r>
      <w:r w:rsidR="003F2CE4" w:rsidRPr="003F2CE4">
        <w:rPr>
          <w:rFonts w:eastAsia="Times New Roman" w:cs="Times New Roman"/>
          <w:lang w:eastAsia="cs-CZ"/>
        </w:rPr>
        <w:t>2</w:t>
      </w:r>
      <w:r w:rsidRPr="003F2CE4">
        <w:rPr>
          <w:rFonts w:eastAsia="Times New Roman" w:cs="Times New Roman"/>
          <w:lang w:eastAsia="cs-CZ"/>
        </w:rPr>
        <w:t xml:space="preserve"> pracovní dny před přesným termínem</w:t>
      </w:r>
      <w:r>
        <w:rPr>
          <w:rFonts w:eastAsia="Times New Roman" w:cs="Times New Roman"/>
          <w:lang w:eastAsia="cs-CZ"/>
        </w:rPr>
        <w:t xml:space="preserve">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40517F" w:rsidRDefault="00F34FAC" w:rsidP="00214C3E">
      <w:pPr>
        <w:pStyle w:val="Nadpis1-1"/>
      </w:pPr>
      <w:r w:rsidRPr="0040517F">
        <w:t>přeprava předmětu koupě</w:t>
      </w:r>
    </w:p>
    <w:p w14:paraId="76924D9A" w14:textId="77777777" w:rsidR="00F34FAC" w:rsidRPr="0040517F" w:rsidRDefault="00454369" w:rsidP="00F34FAC">
      <w:pPr>
        <w:pStyle w:val="Text1-1"/>
      </w:pPr>
      <w:r w:rsidRPr="0040517F">
        <w:t>Kupující nevyžaduje pojištění</w:t>
      </w:r>
      <w:r w:rsidR="00FB1BA8" w:rsidRPr="0040517F">
        <w:t>.</w:t>
      </w:r>
    </w:p>
    <w:p w14:paraId="3F7FE46F" w14:textId="77777777" w:rsidR="00F34FAC" w:rsidRPr="0040517F" w:rsidRDefault="00454369" w:rsidP="00F34FAC">
      <w:pPr>
        <w:pStyle w:val="Text1-1"/>
      </w:pPr>
      <w:r w:rsidRPr="0040517F">
        <w:t xml:space="preserve">Kupující nevyžaduje speciální balení. </w:t>
      </w:r>
    </w:p>
    <w:p w14:paraId="4F5C9EAA" w14:textId="0713B4FF" w:rsidR="00F34FAC" w:rsidRPr="0040517F" w:rsidRDefault="00A53FCB" w:rsidP="00F34FAC">
      <w:pPr>
        <w:pStyle w:val="Text1-1"/>
      </w:pPr>
      <w:bookmarkStart w:id="3" w:name="_Hlk161322717"/>
      <w:r w:rsidRPr="0040517F">
        <w:t>Vratný obalový materiál tvoří</w:t>
      </w:r>
      <w:r w:rsidR="00DA2DD4">
        <w:t>:</w:t>
      </w:r>
      <w:r w:rsidRPr="0040517F">
        <w:t xml:space="preserve"> </w:t>
      </w:r>
      <w:bookmarkEnd w:id="3"/>
      <w:r w:rsidR="0040517F" w:rsidRPr="0040517F">
        <w:t>bez vratného materiálu.</w:t>
      </w:r>
    </w:p>
    <w:p w14:paraId="41B996A5" w14:textId="580815AA" w:rsidR="00A53FCB" w:rsidRPr="0040517F" w:rsidRDefault="00A53FCB" w:rsidP="005511D6">
      <w:pPr>
        <w:pStyle w:val="Text1-1"/>
      </w:pPr>
      <w:r w:rsidRPr="0040517F">
        <w:t>Kupující vyžaduje vyložení Předmětu koupě z dopravního prostředku.</w:t>
      </w:r>
    </w:p>
    <w:p w14:paraId="25DC41BF" w14:textId="528D0D1D" w:rsidR="00A53FCB" w:rsidRPr="0040517F" w:rsidRDefault="00A53FCB" w:rsidP="00F34FAC">
      <w:pPr>
        <w:pStyle w:val="Nadpis1-1"/>
        <w:rPr>
          <w:b w:val="0"/>
          <w:bCs/>
        </w:rPr>
      </w:pPr>
      <w:r w:rsidRPr="0040517F">
        <w:rPr>
          <w:bCs/>
        </w:rPr>
        <w:t>Listiny (Doklady)</w:t>
      </w:r>
    </w:p>
    <w:p w14:paraId="3998DF55" w14:textId="5AF28B71" w:rsidR="00A53FCB" w:rsidRDefault="00A53FCB" w:rsidP="005511D6">
      <w:pPr>
        <w:pStyle w:val="Text1-1"/>
      </w:pPr>
      <w:r w:rsidRPr="0040517F">
        <w:t>Nejpozději s předáním a převzetím Předmětu koupě se Prodávající zavazuje předat Kupujícímu</w:t>
      </w:r>
      <w:r>
        <w:t xml:space="preserve"> následující </w:t>
      </w:r>
      <w:r w:rsidRPr="00A53FCB">
        <w:t>listiny (Doklady)</w:t>
      </w:r>
      <w:r>
        <w:t xml:space="preserve"> vztahující se k Předmětu koupě: </w:t>
      </w:r>
    </w:p>
    <w:p w14:paraId="24947BD5" w14:textId="77777777" w:rsidR="0040517F" w:rsidRDefault="0040517F" w:rsidP="0040517F">
      <w:pPr>
        <w:pStyle w:val="Text1-2"/>
      </w:pPr>
      <w:r>
        <w:t>Dodací list.</w:t>
      </w:r>
    </w:p>
    <w:p w14:paraId="6F5F6B4D" w14:textId="77777777" w:rsidR="0040517F" w:rsidRPr="00C9001F" w:rsidRDefault="0040517F" w:rsidP="0040517F">
      <w:pPr>
        <w:pStyle w:val="Text1-2"/>
      </w:pPr>
      <w:r w:rsidRPr="00C9001F">
        <w:t>Záruční list</w:t>
      </w:r>
      <w:r>
        <w:t>.</w:t>
      </w:r>
    </w:p>
    <w:p w14:paraId="3AA44968" w14:textId="77777777" w:rsidR="0040517F" w:rsidRPr="00C9001F" w:rsidRDefault="0040517F" w:rsidP="0040517F">
      <w:pPr>
        <w:pStyle w:val="Text1-2"/>
      </w:pPr>
      <w:r w:rsidRPr="00C9001F">
        <w:t>Prohlášení o shodě dodávaného výrobku</w:t>
      </w:r>
      <w:r>
        <w:t>.</w:t>
      </w:r>
    </w:p>
    <w:p w14:paraId="54FECE25" w14:textId="27ECEC72" w:rsidR="00A53FCB" w:rsidRPr="0040517F" w:rsidRDefault="0040517F" w:rsidP="0040517F">
      <w:pPr>
        <w:pStyle w:val="Text1-2"/>
      </w:pPr>
      <w:r w:rsidRPr="00C9001F">
        <w:t xml:space="preserve">Návod k použití, údržbě a obsluze </w:t>
      </w:r>
      <w:r>
        <w:t>přístroje v českém jazyce.</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40517F" w:rsidRDefault="00A53FCB" w:rsidP="00A771A6">
      <w:pPr>
        <w:pStyle w:val="Text1-1"/>
      </w:pPr>
      <w:r w:rsidRPr="0040517F">
        <w:t xml:space="preserve">Záruční doba činí </w:t>
      </w:r>
      <w:r w:rsidRPr="0040517F">
        <w:rPr>
          <w:b/>
          <w:bCs/>
        </w:rPr>
        <w:t>24</w:t>
      </w:r>
      <w:r w:rsidRPr="0040517F">
        <w:t xml:space="preserve"> měsíců.</w:t>
      </w:r>
    </w:p>
    <w:p w14:paraId="3B501842" w14:textId="77777777" w:rsidR="00A771A6" w:rsidRPr="0040517F" w:rsidRDefault="00A771A6" w:rsidP="00A771A6">
      <w:pPr>
        <w:pStyle w:val="Text1-1"/>
      </w:pPr>
      <w:bookmarkStart w:id="4" w:name="_Hlk161322988"/>
      <w:r w:rsidRPr="0040517F">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40517F" w:rsidRDefault="00A771A6" w:rsidP="00A771A6">
      <w:pPr>
        <w:pStyle w:val="Text1-1"/>
      </w:pPr>
      <w:r w:rsidRPr="0040517F">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4"/>
      <w:r w:rsidRPr="0040517F">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35098C" w:rsidRDefault="007C34D3" w:rsidP="007C34D3">
      <w:pPr>
        <w:pStyle w:val="Text1-1"/>
        <w:rPr>
          <w:lang w:eastAsia="cs-CZ"/>
        </w:rPr>
      </w:pPr>
      <w:r w:rsidRPr="00C208FD">
        <w:rPr>
          <w:lang w:eastAsia="cs-CZ"/>
        </w:rPr>
        <w:t xml:space="preserve">Kontaktními </w:t>
      </w:r>
      <w:r w:rsidRPr="0035098C">
        <w:rPr>
          <w:lang w:eastAsia="cs-CZ"/>
        </w:rPr>
        <w:t>osobami Smluvních stran jsou:</w:t>
      </w:r>
    </w:p>
    <w:p w14:paraId="626E0AF3" w14:textId="55391994" w:rsidR="007C34D3" w:rsidRPr="0035098C" w:rsidRDefault="007C34D3" w:rsidP="007C34D3">
      <w:pPr>
        <w:spacing w:after="80" w:line="276" w:lineRule="auto"/>
        <w:ind w:left="2410" w:hanging="1702"/>
        <w:jc w:val="both"/>
        <w:rPr>
          <w:rFonts w:eastAsia="Times New Roman" w:cs="Times New Roman"/>
          <w:lang w:eastAsia="cs-CZ"/>
        </w:rPr>
      </w:pPr>
      <w:r w:rsidRPr="0035098C">
        <w:rPr>
          <w:rFonts w:eastAsia="Times New Roman" w:cs="Times New Roman"/>
          <w:lang w:eastAsia="cs-CZ"/>
        </w:rPr>
        <w:t xml:space="preserve">za Kupujícího: </w:t>
      </w:r>
      <w:bookmarkStart w:id="5" w:name="_Hlk141698837"/>
      <w:r w:rsidRPr="0035098C">
        <w:rPr>
          <w:rFonts w:eastAsia="Times New Roman" w:cs="Times New Roman"/>
          <w:lang w:eastAsia="cs-CZ"/>
        </w:rPr>
        <w:tab/>
      </w:r>
      <w:r w:rsidR="0035098C" w:rsidRPr="0035098C">
        <w:t>Ing. Ondřej Brdíčko</w:t>
      </w:r>
      <w:r w:rsidRPr="0035098C">
        <w:rPr>
          <w:rFonts w:eastAsia="Times New Roman" w:cs="Times New Roman"/>
          <w:lang w:eastAsia="cs-CZ"/>
        </w:rPr>
        <w:t xml:space="preserve"> </w:t>
      </w:r>
      <w:bookmarkEnd w:id="5"/>
    </w:p>
    <w:p w14:paraId="32A6E452" w14:textId="4E66B13F" w:rsidR="007C34D3" w:rsidRDefault="007C34D3" w:rsidP="007C34D3">
      <w:pPr>
        <w:spacing w:after="80" w:line="276" w:lineRule="auto"/>
        <w:ind w:left="1701" w:firstLine="709"/>
        <w:jc w:val="both"/>
        <w:rPr>
          <w:rStyle w:val="Hypertextovodkaz"/>
          <w:rFonts w:eastAsia="Times New Roman" w:cs="Times New Roman"/>
          <w:lang w:eastAsia="cs-CZ"/>
        </w:rPr>
      </w:pPr>
      <w:r w:rsidRPr="0035098C">
        <w:rPr>
          <w:rFonts w:eastAsia="Times New Roman" w:cs="Times New Roman"/>
          <w:lang w:eastAsia="cs-CZ"/>
        </w:rPr>
        <w:t xml:space="preserve">tel. </w:t>
      </w:r>
      <w:r w:rsidRPr="0035098C">
        <w:t>+420</w:t>
      </w:r>
      <w:r w:rsidR="0035098C" w:rsidRPr="0035098C">
        <w:t> 602 544 851</w:t>
      </w:r>
      <w:r w:rsidRPr="0035098C">
        <w:rPr>
          <w:rFonts w:eastAsia="Times New Roman" w:cs="Times New Roman"/>
          <w:lang w:eastAsia="cs-CZ"/>
        </w:rPr>
        <w:t xml:space="preserve">, email: </w:t>
      </w:r>
      <w:hyperlink r:id="rId13" w:history="1">
        <w:r w:rsidR="0035098C" w:rsidRPr="0035098C">
          <w:rPr>
            <w:rStyle w:val="Hypertextovodkaz"/>
            <w:rFonts w:eastAsia="Times New Roman" w:cs="Times New Roman"/>
            <w:noProof w:val="0"/>
            <w:lang w:eastAsia="cs-CZ"/>
          </w:rPr>
          <w:t>brdicko@spravazeleznic.cz</w:t>
        </w:r>
      </w:hyperlink>
      <w:r w:rsidR="0035098C" w:rsidRPr="0035098C">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lastRenderedPageBreak/>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49573296"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DA2DD4">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5D7CCB5F" w:rsidR="00F34FAC" w:rsidRPr="00383BD5" w:rsidRDefault="00383BD5" w:rsidP="00383BD5">
      <w:pPr>
        <w:pStyle w:val="Text1-1"/>
        <w:rPr>
          <w:rFonts w:eastAsia="Times New Roman" w:cs="Times New Roman"/>
          <w:lang w:eastAsia="cs-CZ"/>
        </w:rPr>
      </w:pPr>
      <w:r w:rsidRPr="00383BD5">
        <w:rPr>
          <w:rFonts w:eastAsia="Times New Roman" w:cs="Times New Roman"/>
          <w:lang w:eastAsia="cs-CZ"/>
        </w:rPr>
        <w:t>Neobsazeno.</w:t>
      </w:r>
    </w:p>
    <w:p w14:paraId="761E12E9" w14:textId="16EF09F8" w:rsidR="00F34FAC" w:rsidRPr="00383BD5" w:rsidRDefault="00383BD5" w:rsidP="00F34FAC">
      <w:pPr>
        <w:pStyle w:val="Text1-1"/>
      </w:pPr>
      <w:r w:rsidRPr="00383BD5">
        <w:t>Neobsazeno.</w:t>
      </w:r>
    </w:p>
    <w:p w14:paraId="09416DF1" w14:textId="77777777" w:rsidR="00F34FAC" w:rsidRPr="00383BD5" w:rsidRDefault="00F34FAC" w:rsidP="00F34FAC">
      <w:pPr>
        <w:pStyle w:val="Text1-1"/>
        <w:rPr>
          <w:rFonts w:ascii="Verdana" w:hAnsi="Verdana" w:cstheme="minorHAnsi"/>
        </w:rPr>
      </w:pPr>
      <w:r w:rsidRPr="00383BD5">
        <w:rPr>
          <w:rFonts w:eastAsia="Times New Roman" w:cs="Times New Roman"/>
        </w:rPr>
        <w:t>Odpovědné</w:t>
      </w:r>
      <w:r w:rsidRPr="00383BD5">
        <w:rPr>
          <w:rFonts w:ascii="Verdana" w:hAnsi="Verdana" w:cstheme="minorHAnsi"/>
        </w:rPr>
        <w:t xml:space="preserve"> zadávání</w:t>
      </w:r>
    </w:p>
    <w:p w14:paraId="2E2372A5" w14:textId="77777777" w:rsidR="00F34FAC" w:rsidRPr="00383BD5" w:rsidRDefault="00F34FAC" w:rsidP="00F34FAC">
      <w:pPr>
        <w:pStyle w:val="Text1-1"/>
        <w:numPr>
          <w:ilvl w:val="0"/>
          <w:numId w:val="0"/>
        </w:numPr>
        <w:ind w:left="737"/>
        <w:rPr>
          <w:rFonts w:ascii="Verdana" w:hAnsi="Verdana" w:cstheme="minorHAnsi"/>
        </w:rPr>
      </w:pPr>
      <w:r w:rsidRPr="00383BD5">
        <w:t>Kupující</w:t>
      </w:r>
      <w:r w:rsidRPr="00383BD5">
        <w:rPr>
          <w:rFonts w:ascii="Verdana" w:hAnsi="Verdana" w:cstheme="minorHAnsi"/>
        </w:rPr>
        <w:t xml:space="preserve"> je povinen</w:t>
      </w:r>
      <w:r w:rsidRPr="00AF0065">
        <w:rPr>
          <w:rFonts w:ascii="Verdana" w:hAnsi="Verdana" w:cstheme="minorHAnsi"/>
        </w:rPr>
        <w:t xml:space="preserve">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AF0065">
        <w:rPr>
          <w:rFonts w:ascii="Verdana" w:hAnsi="Verdana" w:cstheme="minorHAnsi"/>
        </w:rPr>
        <w:t>inovací</w:t>
      </w:r>
      <w:proofErr w:type="gramEnd"/>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w:t>
      </w:r>
      <w:r w:rsidRPr="00383BD5">
        <w:rPr>
          <w:rFonts w:ascii="Verdana" w:hAnsi="Verdana" w:cstheme="minorHAnsi"/>
        </w:rPr>
        <w:t>daném ohledu kladené, které jsou jako jednotlivé prvky odpovědného zadávání uvedeny v následujících ustanovení tohoto článku Smlouvy.</w:t>
      </w:r>
    </w:p>
    <w:p w14:paraId="149A757E" w14:textId="20F1F158" w:rsidR="00F34FAC" w:rsidRPr="00383BD5" w:rsidRDefault="00F34FAC" w:rsidP="00F34FAC">
      <w:pPr>
        <w:pStyle w:val="Text1-1"/>
        <w:numPr>
          <w:ilvl w:val="0"/>
          <w:numId w:val="0"/>
        </w:numPr>
        <w:ind w:left="737"/>
      </w:pPr>
      <w:r w:rsidRPr="00383BD5">
        <w:t>Kupující</w:t>
      </w:r>
      <w:r w:rsidRPr="00383BD5">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383BD5">
        <w:rPr>
          <w:rFonts w:eastAsia="Times New Roman" w:cs="Times New Roman"/>
        </w:rPr>
        <w:t>Compliance doložka a</w:t>
      </w:r>
      <w:r w:rsidRPr="007C34D3">
        <w:rPr>
          <w:rFonts w:eastAsia="Times New Roman" w:cs="Times New Roman"/>
        </w:rPr>
        <w:t xml:space="preserve">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6" w:name="_Hlk161323266"/>
      <w:r w:rsidRPr="00011A55">
        <w:rPr>
          <w:rFonts w:eastAsia="Times New Roman" w:cs="Times New Roman"/>
        </w:rPr>
        <w:lastRenderedPageBreak/>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6"/>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7"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w:t>
      </w:r>
      <w:r w:rsidR="00830C9D" w:rsidRPr="002B73F3">
        <w:rPr>
          <w:rStyle w:val="normaltextrun"/>
          <w:bdr w:val="none" w:sz="0" w:space="0" w:color="auto" w:frame="1"/>
        </w:rPr>
        <w:lastRenderedPageBreak/>
        <w:t>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7"/>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8"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8"/>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 xml:space="preserve">mluvními stranami neplatí </w:t>
      </w:r>
      <w:proofErr w:type="spellStart"/>
      <w:r w:rsidRPr="00AF0065">
        <w:t>ust</w:t>
      </w:r>
      <w:proofErr w:type="spellEnd"/>
      <w:r w:rsidRPr="00AF0065">
        <w: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w:t>
      </w:r>
      <w:proofErr w:type="spellStart"/>
      <w:r w:rsidRPr="00AF0065">
        <w:t>ust</w:t>
      </w:r>
      <w:proofErr w:type="spellEnd"/>
      <w:r w:rsidRPr="00AF0065">
        <w: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w:t>
      </w:r>
      <w:r w:rsidRPr="00AF0065">
        <w:lastRenderedPageBreak/>
        <w:t>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9" w:name="Text18"/>
      <w:r w:rsidR="00FE6762">
        <w:instrText xml:space="preserve"> FORMTEXT </w:instrText>
      </w:r>
      <w:r w:rsidR="00FE6762">
        <w:fldChar w:fldCharType="separate"/>
      </w:r>
      <w:r w:rsidR="00FE6762">
        <w:rPr>
          <w:noProof/>
        </w:rPr>
        <w:t>"[VLOŽÍ PRODÁVAJÍCÍ]"</w:t>
      </w:r>
      <w:r w:rsidR="00FE6762">
        <w:fldChar w:fldCharType="end"/>
      </w:r>
      <w:bookmarkEnd w:id="9"/>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1" w:name="ListAnnex02"/>
      <w:tr w:rsidR="00214C3E" w:rsidRPr="00F97DBD" w14:paraId="41F7AAB4" w14:textId="77777777" w:rsidTr="009032FF">
        <w:trPr>
          <w:jc w:val="center"/>
        </w:trPr>
        <w:tc>
          <w:tcPr>
            <w:tcW w:w="2031" w:type="pct"/>
          </w:tcPr>
          <w:p w14:paraId="0635E5FA" w14:textId="77777777" w:rsidR="00214C3E" w:rsidRPr="000F23DB" w:rsidRDefault="00214C3E" w:rsidP="00214C3E">
            <w:pPr>
              <w:pStyle w:val="Textbezslovn"/>
            </w:pPr>
            <w:r w:rsidRPr="000F23DB">
              <w:fldChar w:fldCharType="begin"/>
            </w:r>
            <w:r w:rsidRPr="000F23DB">
              <w:instrText xml:space="preserve"> HYPERLINK  \l "Annex02" </w:instrText>
            </w:r>
            <w:r w:rsidRPr="000F23DB">
              <w:fldChar w:fldCharType="separate"/>
            </w:r>
            <w:r w:rsidRPr="000F23DB">
              <w:rPr>
                <w:rStyle w:val="Hypertextovodkaz"/>
                <w:rFonts w:cs="Calibri"/>
                <w:color w:val="auto"/>
              </w:rPr>
              <w:t>Příloha č. 2</w:t>
            </w:r>
            <w:bookmarkEnd w:id="11"/>
            <w:r w:rsidRPr="000F23DB">
              <w:fldChar w:fldCharType="end"/>
            </w:r>
            <w:r w:rsidRPr="000F23DB">
              <w:t>:</w:t>
            </w:r>
          </w:p>
        </w:tc>
        <w:tc>
          <w:tcPr>
            <w:tcW w:w="2969" w:type="pct"/>
          </w:tcPr>
          <w:p w14:paraId="7E2DE6AE" w14:textId="08373926" w:rsidR="00214C3E" w:rsidRPr="000F23DB" w:rsidRDefault="001E44D1" w:rsidP="001E44D1">
            <w:pPr>
              <w:pStyle w:val="Textbezslovn"/>
              <w:ind w:hanging="136"/>
            </w:pPr>
            <w:r w:rsidRPr="000F23DB">
              <w:t>Specifikace předmětu koupě</w:t>
            </w:r>
            <w:r w:rsidR="00214C3E" w:rsidRPr="000F23DB">
              <w:t xml:space="preserve"> </w:t>
            </w:r>
          </w:p>
        </w:tc>
      </w:tr>
      <w:bookmarkStart w:id="12" w:name="ListAnnex04"/>
      <w:tr w:rsidR="00214C3E" w:rsidRPr="00F97DBD" w14:paraId="0AAD41A9" w14:textId="77777777" w:rsidTr="009032FF">
        <w:trPr>
          <w:jc w:val="center"/>
        </w:trPr>
        <w:tc>
          <w:tcPr>
            <w:tcW w:w="2031" w:type="pct"/>
          </w:tcPr>
          <w:p w14:paraId="28E55E32" w14:textId="0BDDD0D2" w:rsidR="00214C3E" w:rsidRPr="000F23DB" w:rsidRDefault="00214C3E" w:rsidP="00214C3E">
            <w:pPr>
              <w:pStyle w:val="Textbezslovn"/>
            </w:pPr>
            <w:r w:rsidRPr="000F23DB">
              <w:fldChar w:fldCharType="begin"/>
            </w:r>
            <w:r w:rsidRPr="000F23DB">
              <w:instrText xml:space="preserve"> HYPERLINK  \l "Annex04" </w:instrText>
            </w:r>
            <w:r w:rsidRPr="000F23DB">
              <w:fldChar w:fldCharType="separate"/>
            </w:r>
            <w:r w:rsidRPr="000F23DB">
              <w:rPr>
                <w:rStyle w:val="Hypertextovodkaz"/>
                <w:rFonts w:cs="Calibri"/>
                <w:color w:val="auto"/>
              </w:rPr>
              <w:t xml:space="preserve">Příloha č. </w:t>
            </w:r>
            <w:r w:rsidR="001E44D1" w:rsidRPr="000F23DB">
              <w:rPr>
                <w:rStyle w:val="Hypertextovodkaz"/>
                <w:rFonts w:cs="Calibri"/>
                <w:color w:val="auto"/>
              </w:rPr>
              <w:t>3</w:t>
            </w:r>
            <w:bookmarkEnd w:id="12"/>
            <w:r w:rsidRPr="000F23DB">
              <w:fldChar w:fldCharType="end"/>
            </w:r>
            <w:r w:rsidRPr="000F23DB">
              <w:t>:</w:t>
            </w:r>
          </w:p>
        </w:tc>
        <w:tc>
          <w:tcPr>
            <w:tcW w:w="2969" w:type="pct"/>
          </w:tcPr>
          <w:p w14:paraId="025B7BE9" w14:textId="12838DE0" w:rsidR="00214C3E" w:rsidRPr="000F23DB" w:rsidRDefault="00383BD5" w:rsidP="000D2628">
            <w:pPr>
              <w:pStyle w:val="Textbezslovn"/>
              <w:ind w:hanging="136"/>
            </w:pPr>
            <w:r w:rsidRPr="000F23DB">
              <w:t>neobsazeno</w:t>
            </w:r>
          </w:p>
        </w:tc>
      </w:tr>
      <w:tr w:rsidR="001E44D1" w:rsidRPr="00F97DBD" w14:paraId="086497E9" w14:textId="77777777" w:rsidTr="009032FF">
        <w:trPr>
          <w:jc w:val="center"/>
        </w:trPr>
        <w:tc>
          <w:tcPr>
            <w:tcW w:w="2031" w:type="pct"/>
          </w:tcPr>
          <w:p w14:paraId="32F3AFE8" w14:textId="725A0EAF" w:rsidR="001E44D1" w:rsidRPr="000F23DB" w:rsidRDefault="0062068D" w:rsidP="001E44D1">
            <w:pPr>
              <w:pStyle w:val="Textbezslovn"/>
            </w:pPr>
            <w:hyperlink w:anchor="Annex04" w:history="1">
              <w:r w:rsidR="001E44D1" w:rsidRPr="000F23DB">
                <w:rPr>
                  <w:rStyle w:val="Hypertextovodkaz"/>
                  <w:rFonts w:cs="Calibri"/>
                  <w:color w:val="auto"/>
                </w:rPr>
                <w:t>Příloha č. 4</w:t>
              </w:r>
            </w:hyperlink>
            <w:r w:rsidR="001E44D1" w:rsidRPr="000F23DB">
              <w:t>:</w:t>
            </w:r>
          </w:p>
        </w:tc>
        <w:tc>
          <w:tcPr>
            <w:tcW w:w="2969" w:type="pct"/>
          </w:tcPr>
          <w:p w14:paraId="49B03817" w14:textId="53BF3531" w:rsidR="001E44D1" w:rsidRPr="000F23DB" w:rsidRDefault="001E44D1" w:rsidP="001E44D1">
            <w:pPr>
              <w:pStyle w:val="Textbezslovn"/>
              <w:ind w:hanging="136"/>
            </w:pPr>
            <w:r w:rsidRPr="000F23DB">
              <w:rPr>
                <w:highlight w:val="lightGray"/>
              </w:rPr>
              <w:t>Seznam poddodavatelů</w:t>
            </w:r>
            <w:r w:rsidRPr="000F23DB">
              <w:t xml:space="preserve"> </w:t>
            </w:r>
          </w:p>
        </w:tc>
      </w:tr>
      <w:bookmarkStart w:id="13" w:name="ListAnnex05"/>
      <w:tr w:rsidR="001E44D1" w:rsidRPr="00F97DBD" w14:paraId="7F332280" w14:textId="77777777" w:rsidTr="009032FF">
        <w:trPr>
          <w:jc w:val="center"/>
        </w:trPr>
        <w:tc>
          <w:tcPr>
            <w:tcW w:w="2031" w:type="pct"/>
          </w:tcPr>
          <w:p w14:paraId="33BCA3B9" w14:textId="77777777" w:rsidR="001E44D1" w:rsidRPr="000F23DB" w:rsidRDefault="001E44D1" w:rsidP="001E44D1">
            <w:pPr>
              <w:pStyle w:val="Textbezslovn"/>
            </w:pPr>
            <w:r w:rsidRPr="000F23DB">
              <w:fldChar w:fldCharType="begin"/>
            </w:r>
            <w:r w:rsidRPr="000F23DB">
              <w:instrText xml:space="preserve"> HYPERLINK  \l "Annex05" </w:instrText>
            </w:r>
            <w:r w:rsidRPr="000F23DB">
              <w:fldChar w:fldCharType="separate"/>
            </w:r>
            <w:r w:rsidRPr="000F23DB">
              <w:rPr>
                <w:rStyle w:val="Hypertextovodkaz"/>
                <w:rFonts w:cs="Calibri"/>
                <w:color w:val="auto"/>
              </w:rPr>
              <w:t>Příloha č. 5</w:t>
            </w:r>
            <w:bookmarkEnd w:id="13"/>
            <w:r w:rsidRPr="000F23DB">
              <w:fldChar w:fldCharType="end"/>
            </w:r>
            <w:r w:rsidRPr="000F23DB">
              <w:t>:</w:t>
            </w:r>
          </w:p>
        </w:tc>
        <w:tc>
          <w:tcPr>
            <w:tcW w:w="2969" w:type="pct"/>
          </w:tcPr>
          <w:p w14:paraId="66E1CAEF" w14:textId="23CB0458" w:rsidR="001E44D1" w:rsidRPr="000F23DB" w:rsidRDefault="001E44D1" w:rsidP="001E44D1">
            <w:pPr>
              <w:pStyle w:val="Textbezslovn"/>
              <w:ind w:hanging="136"/>
            </w:pPr>
            <w:r w:rsidRPr="000F23DB">
              <w:t>neobsazeno</w:t>
            </w:r>
          </w:p>
        </w:tc>
      </w:tr>
      <w:bookmarkStart w:id="14"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4"/>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62970A8B"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 xml:space="preserve">Specifikace předmětu koupě uvedená v nabídce vybraného dodavatele </w:t>
      </w:r>
      <w:r w:rsidR="00FC0534">
        <w:rPr>
          <w:highlight w:val="lightGray"/>
        </w:rPr>
        <w:t xml:space="preserve">ve formě </w:t>
      </w:r>
      <w:r w:rsidRPr="00AF0065">
        <w:rPr>
          <w:highlight w:val="lightGray"/>
        </w:rPr>
        <w:t>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59A4" w14:textId="77777777" w:rsidR="00383BD5" w:rsidRDefault="00383BD5" w:rsidP="00962258">
      <w:pPr>
        <w:spacing w:after="0" w:line="240" w:lineRule="auto"/>
      </w:pPr>
      <w:r>
        <w:separator/>
      </w:r>
    </w:p>
  </w:endnote>
  <w:endnote w:type="continuationSeparator" w:id="0">
    <w:p w14:paraId="149274CF" w14:textId="77777777" w:rsidR="00383BD5" w:rsidRDefault="00383B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383BD5" w14:paraId="66F961A6" w14:textId="77777777" w:rsidTr="00AF2741">
      <w:tc>
        <w:tcPr>
          <w:tcW w:w="1361" w:type="dxa"/>
          <w:tcMar>
            <w:left w:w="0" w:type="dxa"/>
            <w:right w:w="0" w:type="dxa"/>
          </w:tcMar>
          <w:vAlign w:val="bottom"/>
        </w:tcPr>
        <w:p w14:paraId="74E023F2" w14:textId="6044C1F7" w:rsidR="00383BD5" w:rsidRPr="00B8518B" w:rsidRDefault="00383BD5"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068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83BD5" w:rsidRDefault="00383BD5" w:rsidP="00AF2741">
          <w:pPr>
            <w:pStyle w:val="Zpat"/>
          </w:pPr>
        </w:p>
      </w:tc>
      <w:tc>
        <w:tcPr>
          <w:tcW w:w="425" w:type="dxa"/>
          <w:shd w:val="clear" w:color="auto" w:fill="auto"/>
          <w:tcMar>
            <w:left w:w="0" w:type="dxa"/>
            <w:right w:w="0" w:type="dxa"/>
          </w:tcMar>
        </w:tcPr>
        <w:p w14:paraId="22A8B046" w14:textId="77777777" w:rsidR="00383BD5" w:rsidRDefault="00383BD5" w:rsidP="00AF2741">
          <w:pPr>
            <w:pStyle w:val="Zpat"/>
          </w:pPr>
        </w:p>
      </w:tc>
      <w:tc>
        <w:tcPr>
          <w:tcW w:w="8505" w:type="dxa"/>
        </w:tcPr>
        <w:p w14:paraId="0068C395" w14:textId="4A61C862" w:rsidR="00383BD5" w:rsidRPr="00E7415D" w:rsidRDefault="00383BD5" w:rsidP="00AF2741">
          <w:pPr>
            <w:pStyle w:val="Zpat0"/>
            <w:rPr>
              <w:b/>
            </w:rPr>
          </w:pPr>
          <w:r>
            <w:rPr>
              <w:b/>
            </w:rPr>
            <w:t xml:space="preserve">KUPNÍ </w:t>
          </w:r>
          <w:r w:rsidRPr="00E7415D">
            <w:rPr>
              <w:b/>
            </w:rPr>
            <w:t>SMLOUVA</w:t>
          </w:r>
        </w:p>
        <w:p w14:paraId="4E23EBCB" w14:textId="7D84C832" w:rsidR="00383BD5" w:rsidRDefault="00383BD5" w:rsidP="00AF2741">
          <w:pPr>
            <w:pStyle w:val="Zpat0"/>
          </w:pPr>
          <w:r>
            <w:t>Dodávky</w:t>
          </w:r>
        </w:p>
        <w:p w14:paraId="187111A3" w14:textId="04E8538A" w:rsidR="00383BD5" w:rsidRPr="00E7415D" w:rsidRDefault="00383BD5" w:rsidP="00A15E97">
          <w:pPr>
            <w:pStyle w:val="Zpat0"/>
            <w:rPr>
              <w:b/>
            </w:rPr>
          </w:pPr>
          <w:r w:rsidRPr="003F2CE4">
            <w:t>VZ 63524069</w:t>
          </w:r>
        </w:p>
      </w:tc>
      <w:tc>
        <w:tcPr>
          <w:tcW w:w="8505" w:type="dxa"/>
        </w:tcPr>
        <w:p w14:paraId="3C7F3669" w14:textId="510719AE" w:rsidR="00383BD5" w:rsidRPr="00E7415D" w:rsidRDefault="00383BD5" w:rsidP="00AF2741">
          <w:pPr>
            <w:pStyle w:val="Zpat0"/>
            <w:rPr>
              <w:b/>
            </w:rPr>
          </w:pPr>
          <w:r w:rsidRPr="00E7415D">
            <w:rPr>
              <w:b/>
            </w:rPr>
            <w:t>SMLOUVA O DÍLO</w:t>
          </w:r>
        </w:p>
        <w:p w14:paraId="775730D5" w14:textId="77777777" w:rsidR="00383BD5" w:rsidRDefault="00383BD5" w:rsidP="00AF2741">
          <w:pPr>
            <w:pStyle w:val="Zpat0"/>
          </w:pPr>
          <w:r>
            <w:t>Zhotovení stavby</w:t>
          </w:r>
        </w:p>
      </w:tc>
    </w:tr>
  </w:tbl>
  <w:p w14:paraId="08240A54" w14:textId="77777777" w:rsidR="00383BD5" w:rsidRPr="00B8518B" w:rsidRDefault="00383BD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383BD5" w:rsidRPr="00B8518B" w:rsidRDefault="00383BD5" w:rsidP="00460660">
    <w:pPr>
      <w:pStyle w:val="Zpat"/>
      <w:rPr>
        <w:sz w:val="2"/>
        <w:szCs w:val="2"/>
      </w:rPr>
    </w:pPr>
  </w:p>
  <w:p w14:paraId="16024DF8" w14:textId="77777777" w:rsidR="00383BD5" w:rsidRPr="00460660" w:rsidRDefault="00383BD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3BD5" w14:paraId="3B795DC1" w14:textId="77777777" w:rsidTr="00EB46E5">
      <w:tc>
        <w:tcPr>
          <w:tcW w:w="1361" w:type="dxa"/>
          <w:tcMar>
            <w:left w:w="0" w:type="dxa"/>
            <w:right w:w="0" w:type="dxa"/>
          </w:tcMar>
          <w:vAlign w:val="bottom"/>
        </w:tcPr>
        <w:p w14:paraId="263D62C1" w14:textId="4D29370B" w:rsidR="00383BD5" w:rsidRPr="00B8518B" w:rsidRDefault="00383BD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06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83BD5" w:rsidRDefault="00383BD5" w:rsidP="00B8518B">
          <w:pPr>
            <w:pStyle w:val="Zpat"/>
          </w:pPr>
        </w:p>
      </w:tc>
      <w:tc>
        <w:tcPr>
          <w:tcW w:w="425" w:type="dxa"/>
          <w:shd w:val="clear" w:color="auto" w:fill="auto"/>
          <w:tcMar>
            <w:left w:w="0" w:type="dxa"/>
            <w:right w:w="0" w:type="dxa"/>
          </w:tcMar>
        </w:tcPr>
        <w:p w14:paraId="1E39D294" w14:textId="77777777" w:rsidR="00383BD5" w:rsidRDefault="00383BD5" w:rsidP="00B8518B">
          <w:pPr>
            <w:pStyle w:val="Zpat"/>
          </w:pPr>
        </w:p>
      </w:tc>
      <w:tc>
        <w:tcPr>
          <w:tcW w:w="8505" w:type="dxa"/>
        </w:tcPr>
        <w:p w14:paraId="2B5041B9" w14:textId="77777777" w:rsidR="00383BD5" w:rsidRPr="00143EC0" w:rsidRDefault="00383BD5" w:rsidP="00F422D3">
          <w:pPr>
            <w:pStyle w:val="Zpat0"/>
            <w:rPr>
              <w:b/>
            </w:rPr>
          </w:pPr>
          <w:r w:rsidRPr="00143EC0">
            <w:rPr>
              <w:b/>
            </w:rPr>
            <w:t>PŘÍLOHA č. 1</w:t>
          </w:r>
        </w:p>
        <w:p w14:paraId="324D3A99" w14:textId="77777777" w:rsidR="00383BD5" w:rsidRDefault="00383BD5" w:rsidP="001E44D1">
          <w:pPr>
            <w:pStyle w:val="Zpat0"/>
          </w:pPr>
          <w:r>
            <w:t xml:space="preserve">KUPNÍ </w:t>
          </w:r>
          <w:proofErr w:type="gramStart"/>
          <w:r>
            <w:t>SMLOUVA - Dodávky</w:t>
          </w:r>
          <w:proofErr w:type="gramEnd"/>
        </w:p>
        <w:p w14:paraId="40F61466" w14:textId="7F3504C9" w:rsidR="00383BD5" w:rsidRDefault="000F23DB" w:rsidP="001E44D1">
          <w:pPr>
            <w:pStyle w:val="Zpat0"/>
          </w:pPr>
          <w:r>
            <w:t>VZ 63</w:t>
          </w:r>
          <w:r w:rsidRPr="000F23DB">
            <w:t>524069</w:t>
          </w:r>
        </w:p>
      </w:tc>
    </w:tr>
  </w:tbl>
  <w:p w14:paraId="3A0E80A4" w14:textId="77777777" w:rsidR="00383BD5" w:rsidRPr="00B8518B" w:rsidRDefault="00383BD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3BD5" w14:paraId="5A3921EC" w14:textId="77777777" w:rsidTr="00EB46E5">
      <w:tc>
        <w:tcPr>
          <w:tcW w:w="1361" w:type="dxa"/>
          <w:tcMar>
            <w:left w:w="0" w:type="dxa"/>
            <w:right w:w="0" w:type="dxa"/>
          </w:tcMar>
          <w:vAlign w:val="bottom"/>
        </w:tcPr>
        <w:p w14:paraId="4B55187E" w14:textId="020489A8" w:rsidR="00383BD5" w:rsidRPr="00B8518B" w:rsidRDefault="00383BD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06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83BD5" w:rsidRDefault="00383BD5" w:rsidP="005A7872">
          <w:pPr>
            <w:pStyle w:val="Zpat"/>
          </w:pPr>
        </w:p>
      </w:tc>
      <w:tc>
        <w:tcPr>
          <w:tcW w:w="425" w:type="dxa"/>
          <w:shd w:val="clear" w:color="auto" w:fill="auto"/>
          <w:tcMar>
            <w:left w:w="0" w:type="dxa"/>
            <w:right w:w="0" w:type="dxa"/>
          </w:tcMar>
        </w:tcPr>
        <w:p w14:paraId="0BDE20BF" w14:textId="77777777" w:rsidR="00383BD5" w:rsidRDefault="00383BD5" w:rsidP="00B8518B">
          <w:pPr>
            <w:pStyle w:val="Zpat"/>
          </w:pPr>
        </w:p>
      </w:tc>
      <w:tc>
        <w:tcPr>
          <w:tcW w:w="8505" w:type="dxa"/>
        </w:tcPr>
        <w:p w14:paraId="639AED04" w14:textId="77777777" w:rsidR="00383BD5" w:rsidRPr="00143EC0" w:rsidRDefault="00383BD5" w:rsidP="00F422D3">
          <w:pPr>
            <w:pStyle w:val="Zpat0"/>
            <w:rPr>
              <w:b/>
            </w:rPr>
          </w:pPr>
          <w:r>
            <w:rPr>
              <w:b/>
            </w:rPr>
            <w:t>PŘÍLOHA č. 2</w:t>
          </w:r>
        </w:p>
        <w:p w14:paraId="27CF1D49" w14:textId="77777777" w:rsidR="00383BD5" w:rsidRDefault="00383BD5" w:rsidP="001E44D1">
          <w:pPr>
            <w:pStyle w:val="Zpat0"/>
          </w:pPr>
          <w:r>
            <w:t xml:space="preserve">KUPNÍ </w:t>
          </w:r>
          <w:proofErr w:type="gramStart"/>
          <w:r>
            <w:t>SMLOUVA - Dodávky</w:t>
          </w:r>
          <w:proofErr w:type="gramEnd"/>
        </w:p>
        <w:p w14:paraId="4983A40B" w14:textId="39C798DB" w:rsidR="00383BD5" w:rsidRDefault="000F23DB" w:rsidP="001E44D1">
          <w:pPr>
            <w:pStyle w:val="Zpat0"/>
          </w:pPr>
          <w:r>
            <w:t>VZ 63</w:t>
          </w:r>
          <w:r w:rsidRPr="000F23DB">
            <w:t>524069</w:t>
          </w:r>
        </w:p>
      </w:tc>
    </w:tr>
  </w:tbl>
  <w:p w14:paraId="5CD73219" w14:textId="77777777" w:rsidR="00383BD5" w:rsidRPr="00B8518B" w:rsidRDefault="00383BD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3BD5" w14:paraId="7C217AF3" w14:textId="77777777" w:rsidTr="00EB46E5">
      <w:tc>
        <w:tcPr>
          <w:tcW w:w="1361" w:type="dxa"/>
          <w:tcMar>
            <w:left w:w="0" w:type="dxa"/>
            <w:right w:w="0" w:type="dxa"/>
          </w:tcMar>
          <w:vAlign w:val="bottom"/>
        </w:tcPr>
        <w:p w14:paraId="7DD0A4FE" w14:textId="48103367" w:rsidR="00383BD5" w:rsidRPr="00B8518B" w:rsidRDefault="00383BD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06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83BD5" w:rsidRDefault="00383BD5" w:rsidP="005A7872">
          <w:pPr>
            <w:pStyle w:val="Zpat"/>
          </w:pPr>
        </w:p>
      </w:tc>
      <w:tc>
        <w:tcPr>
          <w:tcW w:w="425" w:type="dxa"/>
          <w:shd w:val="clear" w:color="auto" w:fill="auto"/>
          <w:tcMar>
            <w:left w:w="0" w:type="dxa"/>
            <w:right w:w="0" w:type="dxa"/>
          </w:tcMar>
        </w:tcPr>
        <w:p w14:paraId="401BA09E" w14:textId="77777777" w:rsidR="00383BD5" w:rsidRDefault="00383BD5" w:rsidP="00B8518B">
          <w:pPr>
            <w:pStyle w:val="Zpat"/>
          </w:pPr>
        </w:p>
      </w:tc>
      <w:tc>
        <w:tcPr>
          <w:tcW w:w="8505" w:type="dxa"/>
        </w:tcPr>
        <w:p w14:paraId="26CBFC97" w14:textId="74B1839C" w:rsidR="00383BD5" w:rsidRPr="00143EC0" w:rsidRDefault="00383BD5" w:rsidP="001E44D1">
          <w:pPr>
            <w:pStyle w:val="Zpat0"/>
            <w:rPr>
              <w:b/>
            </w:rPr>
          </w:pPr>
          <w:r>
            <w:rPr>
              <w:b/>
            </w:rPr>
            <w:t>PŘÍLOHA č. 4</w:t>
          </w:r>
        </w:p>
        <w:p w14:paraId="7AA5F9F4" w14:textId="77777777" w:rsidR="00383BD5" w:rsidRDefault="00383BD5" w:rsidP="001E44D1">
          <w:pPr>
            <w:pStyle w:val="Zpat0"/>
          </w:pPr>
          <w:r>
            <w:t xml:space="preserve">KUPNÍ </w:t>
          </w:r>
          <w:proofErr w:type="gramStart"/>
          <w:r>
            <w:t>SMLOUVA - Dodávky</w:t>
          </w:r>
          <w:proofErr w:type="gramEnd"/>
        </w:p>
        <w:p w14:paraId="7E32C0F5" w14:textId="334D6D23" w:rsidR="00383BD5" w:rsidRDefault="00383BD5" w:rsidP="001E44D1">
          <w:pPr>
            <w:pStyle w:val="Zpat0"/>
          </w:pPr>
          <w:r>
            <w:t>V</w:t>
          </w:r>
          <w:r w:rsidR="000F23DB">
            <w:t>Z</w:t>
          </w:r>
          <w:r>
            <w:t xml:space="preserve"> 63</w:t>
          </w:r>
          <w:r w:rsidRPr="000F23DB">
            <w:t>5</w:t>
          </w:r>
          <w:r w:rsidR="000F23DB" w:rsidRPr="000F23DB">
            <w:t>24069</w:t>
          </w:r>
        </w:p>
      </w:tc>
    </w:tr>
  </w:tbl>
  <w:p w14:paraId="2B76B789" w14:textId="77777777" w:rsidR="00383BD5" w:rsidRPr="00B8518B" w:rsidRDefault="00383BD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3BD5" w14:paraId="61D850F8" w14:textId="77777777" w:rsidTr="00383BD5">
      <w:tc>
        <w:tcPr>
          <w:tcW w:w="1361" w:type="dxa"/>
          <w:tcMar>
            <w:left w:w="0" w:type="dxa"/>
            <w:right w:w="0" w:type="dxa"/>
          </w:tcMar>
          <w:vAlign w:val="bottom"/>
        </w:tcPr>
        <w:p w14:paraId="6D93A69F" w14:textId="6EBD393D" w:rsidR="00383BD5" w:rsidRPr="00B8518B" w:rsidRDefault="00383BD5"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06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383BD5" w:rsidRDefault="00383BD5" w:rsidP="001E44D1">
          <w:pPr>
            <w:pStyle w:val="Zpat"/>
          </w:pPr>
        </w:p>
      </w:tc>
      <w:tc>
        <w:tcPr>
          <w:tcW w:w="425" w:type="dxa"/>
          <w:shd w:val="clear" w:color="auto" w:fill="auto"/>
          <w:tcMar>
            <w:left w:w="0" w:type="dxa"/>
            <w:right w:w="0" w:type="dxa"/>
          </w:tcMar>
        </w:tcPr>
        <w:p w14:paraId="519C86DB" w14:textId="77777777" w:rsidR="00383BD5" w:rsidRDefault="00383BD5" w:rsidP="001E44D1">
          <w:pPr>
            <w:pStyle w:val="Zpat"/>
          </w:pPr>
        </w:p>
      </w:tc>
      <w:tc>
        <w:tcPr>
          <w:tcW w:w="8505" w:type="dxa"/>
        </w:tcPr>
        <w:p w14:paraId="7CEE61B6" w14:textId="7DC3B57C" w:rsidR="00383BD5" w:rsidRPr="00143EC0" w:rsidRDefault="00383BD5" w:rsidP="001E44D1">
          <w:pPr>
            <w:pStyle w:val="Zpat0"/>
            <w:rPr>
              <w:b/>
            </w:rPr>
          </w:pPr>
          <w:r>
            <w:rPr>
              <w:b/>
            </w:rPr>
            <w:t>PŘÍLOHA č. 6</w:t>
          </w:r>
        </w:p>
        <w:p w14:paraId="6027815F" w14:textId="77777777" w:rsidR="00383BD5" w:rsidRDefault="00383BD5" w:rsidP="001E44D1">
          <w:pPr>
            <w:pStyle w:val="Zpat0"/>
          </w:pPr>
          <w:r>
            <w:t xml:space="preserve">KUPNÍ </w:t>
          </w:r>
          <w:proofErr w:type="gramStart"/>
          <w:r>
            <w:t>SMLOUVA - Dodávky</w:t>
          </w:r>
          <w:proofErr w:type="gramEnd"/>
        </w:p>
        <w:p w14:paraId="669AF5E5" w14:textId="6109E899" w:rsidR="00383BD5" w:rsidRDefault="000F23DB" w:rsidP="001E44D1">
          <w:pPr>
            <w:pStyle w:val="Zpat0"/>
          </w:pPr>
          <w:r>
            <w:t>VZ 63</w:t>
          </w:r>
          <w:r w:rsidRPr="000F23DB">
            <w:t>524069</w:t>
          </w:r>
        </w:p>
      </w:tc>
    </w:tr>
  </w:tbl>
  <w:p w14:paraId="42A720D2" w14:textId="77777777" w:rsidR="00383BD5" w:rsidRPr="00B8518B" w:rsidRDefault="00383BD5" w:rsidP="001E44D1">
    <w:pPr>
      <w:pStyle w:val="Zpat"/>
      <w:rPr>
        <w:sz w:val="2"/>
        <w:szCs w:val="2"/>
      </w:rPr>
    </w:pPr>
  </w:p>
  <w:p w14:paraId="40BD9023" w14:textId="7340E6DB" w:rsidR="00383BD5" w:rsidRPr="00B8518B" w:rsidRDefault="00383BD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A2251" w14:textId="77777777" w:rsidR="00383BD5" w:rsidRDefault="00383BD5" w:rsidP="00962258">
      <w:pPr>
        <w:spacing w:after="0" w:line="240" w:lineRule="auto"/>
      </w:pPr>
      <w:r>
        <w:separator/>
      </w:r>
    </w:p>
  </w:footnote>
  <w:footnote w:type="continuationSeparator" w:id="0">
    <w:p w14:paraId="440E8162" w14:textId="77777777" w:rsidR="00383BD5" w:rsidRDefault="00383B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3BD5" w14:paraId="6BB71C12" w14:textId="77777777" w:rsidTr="00C02D0A">
      <w:trPr>
        <w:trHeight w:hRule="exact" w:val="454"/>
      </w:trPr>
      <w:tc>
        <w:tcPr>
          <w:tcW w:w="1361" w:type="dxa"/>
          <w:tcMar>
            <w:top w:w="57" w:type="dxa"/>
            <w:left w:w="0" w:type="dxa"/>
            <w:right w:w="0" w:type="dxa"/>
          </w:tcMar>
        </w:tcPr>
        <w:p w14:paraId="338DD7CB" w14:textId="77777777" w:rsidR="00383BD5" w:rsidRPr="00B8518B" w:rsidRDefault="00383BD5" w:rsidP="00523EA7">
          <w:pPr>
            <w:pStyle w:val="Zpat"/>
            <w:rPr>
              <w:rStyle w:val="slostrnky"/>
            </w:rPr>
          </w:pPr>
        </w:p>
      </w:tc>
      <w:tc>
        <w:tcPr>
          <w:tcW w:w="3458" w:type="dxa"/>
          <w:shd w:val="clear" w:color="auto" w:fill="auto"/>
          <w:tcMar>
            <w:top w:w="57" w:type="dxa"/>
            <w:left w:w="0" w:type="dxa"/>
            <w:right w:w="0" w:type="dxa"/>
          </w:tcMar>
        </w:tcPr>
        <w:p w14:paraId="639C484E" w14:textId="77777777" w:rsidR="00383BD5" w:rsidRDefault="00383BD5" w:rsidP="00523EA7">
          <w:pPr>
            <w:pStyle w:val="Zpat"/>
          </w:pPr>
        </w:p>
      </w:tc>
      <w:tc>
        <w:tcPr>
          <w:tcW w:w="5698" w:type="dxa"/>
          <w:shd w:val="clear" w:color="auto" w:fill="auto"/>
          <w:tcMar>
            <w:top w:w="57" w:type="dxa"/>
            <w:left w:w="0" w:type="dxa"/>
            <w:right w:w="0" w:type="dxa"/>
          </w:tcMar>
        </w:tcPr>
        <w:p w14:paraId="7D8ED610" w14:textId="77777777" w:rsidR="00383BD5" w:rsidRPr="00D6163D" w:rsidRDefault="00383BD5" w:rsidP="00D6163D">
          <w:pPr>
            <w:pStyle w:val="Druhdokumentu"/>
          </w:pPr>
        </w:p>
      </w:tc>
    </w:tr>
  </w:tbl>
  <w:p w14:paraId="6ABCCCE8" w14:textId="77777777" w:rsidR="00383BD5" w:rsidRPr="00D6163D" w:rsidRDefault="00383BD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83BD5" w:rsidRPr="00AF2741" w14:paraId="168FD64F" w14:textId="77777777" w:rsidTr="005F5FFB">
      <w:trPr>
        <w:trHeight w:hRule="exact" w:val="1168"/>
      </w:trPr>
      <w:tc>
        <w:tcPr>
          <w:tcW w:w="1361" w:type="dxa"/>
          <w:tcMar>
            <w:left w:w="0" w:type="dxa"/>
            <w:right w:w="0" w:type="dxa"/>
          </w:tcMar>
        </w:tcPr>
        <w:p w14:paraId="2B8CCDF0" w14:textId="77777777" w:rsidR="00383BD5" w:rsidRPr="00B8518B" w:rsidRDefault="00383BD5" w:rsidP="00FC6389">
          <w:pPr>
            <w:pStyle w:val="Zpat"/>
            <w:rPr>
              <w:rStyle w:val="slostrnky"/>
            </w:rPr>
          </w:pPr>
        </w:p>
      </w:tc>
      <w:tc>
        <w:tcPr>
          <w:tcW w:w="3458" w:type="dxa"/>
          <w:shd w:val="clear" w:color="auto" w:fill="auto"/>
          <w:tcMar>
            <w:left w:w="0" w:type="dxa"/>
            <w:right w:w="0" w:type="dxa"/>
          </w:tcMar>
        </w:tcPr>
        <w:p w14:paraId="53C52B3B" w14:textId="77777777" w:rsidR="00383BD5" w:rsidRDefault="00383BD5" w:rsidP="00FC6389">
          <w:pPr>
            <w:pStyle w:val="Zpat"/>
          </w:pPr>
        </w:p>
      </w:tc>
      <w:tc>
        <w:tcPr>
          <w:tcW w:w="5756" w:type="dxa"/>
          <w:shd w:val="clear" w:color="auto" w:fill="auto"/>
          <w:tcMar>
            <w:left w:w="0" w:type="dxa"/>
            <w:right w:w="0" w:type="dxa"/>
          </w:tcMar>
        </w:tcPr>
        <w:p w14:paraId="6F544C22" w14:textId="77777777" w:rsidR="00383BD5" w:rsidRDefault="00383BD5" w:rsidP="00FC6389">
          <w:pPr>
            <w:pStyle w:val="Druhdokumentu"/>
            <w:rPr>
              <w:b w:val="0"/>
              <w:sz w:val="16"/>
              <w:szCs w:val="16"/>
            </w:rPr>
          </w:pPr>
        </w:p>
        <w:p w14:paraId="5E962325" w14:textId="77777777" w:rsidR="00383BD5" w:rsidRDefault="00383BD5" w:rsidP="00FC6389">
          <w:pPr>
            <w:pStyle w:val="Druhdokumentu"/>
            <w:rPr>
              <w:b w:val="0"/>
              <w:sz w:val="16"/>
              <w:szCs w:val="16"/>
            </w:rPr>
          </w:pPr>
        </w:p>
        <w:p w14:paraId="63D78D97" w14:textId="77777777" w:rsidR="00383BD5" w:rsidRDefault="00383BD5" w:rsidP="00FC6389">
          <w:pPr>
            <w:pStyle w:val="Druhdokumentu"/>
            <w:rPr>
              <w:b w:val="0"/>
              <w:sz w:val="16"/>
              <w:szCs w:val="16"/>
            </w:rPr>
          </w:pPr>
        </w:p>
        <w:p w14:paraId="02418952" w14:textId="77777777" w:rsidR="00383BD5" w:rsidRDefault="00383BD5" w:rsidP="00FC6389">
          <w:pPr>
            <w:pStyle w:val="Druhdokumentu"/>
            <w:rPr>
              <w:b w:val="0"/>
              <w:sz w:val="16"/>
              <w:szCs w:val="16"/>
            </w:rPr>
          </w:pPr>
        </w:p>
        <w:p w14:paraId="31886A74" w14:textId="0BEF9C08" w:rsidR="00383BD5" w:rsidRPr="00AF2741" w:rsidRDefault="00383BD5"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383BD5" w:rsidRPr="00AF2741" w:rsidRDefault="00383BD5" w:rsidP="00FC6389">
          <w:pPr>
            <w:pStyle w:val="Druhdokumentu"/>
            <w:rPr>
              <w:b w:val="0"/>
            </w:rPr>
          </w:pPr>
        </w:p>
      </w:tc>
    </w:tr>
    <w:tr w:rsidR="00383BD5" w14:paraId="158F7373" w14:textId="77777777" w:rsidTr="00B22106">
      <w:trPr>
        <w:trHeight w:hRule="exact" w:val="936"/>
      </w:trPr>
      <w:tc>
        <w:tcPr>
          <w:tcW w:w="1361" w:type="dxa"/>
          <w:tcMar>
            <w:left w:w="0" w:type="dxa"/>
            <w:right w:w="0" w:type="dxa"/>
          </w:tcMar>
        </w:tcPr>
        <w:p w14:paraId="271D6267" w14:textId="77777777" w:rsidR="00383BD5" w:rsidRPr="00B8518B" w:rsidRDefault="00383BD5" w:rsidP="00FC6389">
          <w:pPr>
            <w:pStyle w:val="Zpat"/>
            <w:rPr>
              <w:rStyle w:val="slostrnky"/>
            </w:rPr>
          </w:pPr>
        </w:p>
      </w:tc>
      <w:tc>
        <w:tcPr>
          <w:tcW w:w="3458" w:type="dxa"/>
          <w:shd w:val="clear" w:color="auto" w:fill="auto"/>
          <w:tcMar>
            <w:left w:w="0" w:type="dxa"/>
            <w:right w:w="0" w:type="dxa"/>
          </w:tcMar>
        </w:tcPr>
        <w:p w14:paraId="2D54CAC2" w14:textId="3D722A94" w:rsidR="00383BD5" w:rsidRDefault="00383BD5"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383BD5" w:rsidRDefault="00383BD5" w:rsidP="00056BC3">
          <w:pPr>
            <w:pStyle w:val="Druhdokumentu"/>
            <w:rPr>
              <w:b w:val="0"/>
              <w:color w:val="auto"/>
              <w:sz w:val="16"/>
              <w:szCs w:val="16"/>
              <w:highlight w:val="green"/>
            </w:rPr>
          </w:pPr>
        </w:p>
        <w:p w14:paraId="0F73B4BB" w14:textId="4AB0C231" w:rsidR="00383BD5" w:rsidRPr="00843429" w:rsidRDefault="00383BD5"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383BD5" w:rsidRPr="00D6163D" w:rsidRDefault="00383BD5"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383BD5" w:rsidRPr="00D6163D" w:rsidRDefault="00383BD5"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83BD5" w:rsidRPr="00460660" w:rsidRDefault="00383BD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3BD5" w14:paraId="3F1F66F6" w14:textId="77777777" w:rsidTr="00C02D0A">
      <w:trPr>
        <w:trHeight w:hRule="exact" w:val="454"/>
      </w:trPr>
      <w:tc>
        <w:tcPr>
          <w:tcW w:w="1361" w:type="dxa"/>
          <w:tcMar>
            <w:top w:w="57" w:type="dxa"/>
            <w:left w:w="0" w:type="dxa"/>
            <w:right w:w="0" w:type="dxa"/>
          </w:tcMar>
        </w:tcPr>
        <w:p w14:paraId="51144C71" w14:textId="77777777" w:rsidR="00383BD5" w:rsidRPr="00B8518B" w:rsidRDefault="00383BD5" w:rsidP="00523EA7">
          <w:pPr>
            <w:pStyle w:val="Zpat"/>
            <w:rPr>
              <w:rStyle w:val="slostrnky"/>
            </w:rPr>
          </w:pPr>
        </w:p>
      </w:tc>
      <w:tc>
        <w:tcPr>
          <w:tcW w:w="3458" w:type="dxa"/>
          <w:shd w:val="clear" w:color="auto" w:fill="auto"/>
          <w:tcMar>
            <w:top w:w="57" w:type="dxa"/>
            <w:left w:w="0" w:type="dxa"/>
            <w:right w:w="0" w:type="dxa"/>
          </w:tcMar>
        </w:tcPr>
        <w:p w14:paraId="12C575FA" w14:textId="77777777" w:rsidR="00383BD5" w:rsidRDefault="00383BD5" w:rsidP="00523EA7">
          <w:pPr>
            <w:pStyle w:val="Zpat"/>
          </w:pPr>
        </w:p>
      </w:tc>
      <w:tc>
        <w:tcPr>
          <w:tcW w:w="5698" w:type="dxa"/>
          <w:shd w:val="clear" w:color="auto" w:fill="auto"/>
          <w:tcMar>
            <w:top w:w="57" w:type="dxa"/>
            <w:left w:w="0" w:type="dxa"/>
            <w:right w:w="0" w:type="dxa"/>
          </w:tcMar>
        </w:tcPr>
        <w:p w14:paraId="3C4BB304" w14:textId="77777777" w:rsidR="00383BD5" w:rsidRPr="00D6163D" w:rsidRDefault="00383BD5" w:rsidP="00D6163D">
          <w:pPr>
            <w:pStyle w:val="Druhdokumentu"/>
          </w:pPr>
        </w:p>
      </w:tc>
    </w:tr>
  </w:tbl>
  <w:p w14:paraId="32BDC249" w14:textId="77777777" w:rsidR="00383BD5" w:rsidRPr="00D6163D" w:rsidRDefault="00383BD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3BD5" w14:paraId="675D91C3" w14:textId="77777777" w:rsidTr="00C02D0A">
      <w:trPr>
        <w:trHeight w:hRule="exact" w:val="454"/>
      </w:trPr>
      <w:tc>
        <w:tcPr>
          <w:tcW w:w="1361" w:type="dxa"/>
          <w:tcMar>
            <w:top w:w="57" w:type="dxa"/>
            <w:left w:w="0" w:type="dxa"/>
            <w:right w:w="0" w:type="dxa"/>
          </w:tcMar>
        </w:tcPr>
        <w:p w14:paraId="504FED56" w14:textId="77777777" w:rsidR="00383BD5" w:rsidRPr="00B8518B" w:rsidRDefault="00383BD5" w:rsidP="00523EA7">
          <w:pPr>
            <w:pStyle w:val="Zpat"/>
            <w:rPr>
              <w:rStyle w:val="slostrnky"/>
            </w:rPr>
          </w:pPr>
        </w:p>
      </w:tc>
      <w:tc>
        <w:tcPr>
          <w:tcW w:w="3458" w:type="dxa"/>
          <w:shd w:val="clear" w:color="auto" w:fill="auto"/>
          <w:tcMar>
            <w:top w:w="57" w:type="dxa"/>
            <w:left w:w="0" w:type="dxa"/>
            <w:right w:w="0" w:type="dxa"/>
          </w:tcMar>
        </w:tcPr>
        <w:p w14:paraId="2550CFA4" w14:textId="77777777" w:rsidR="00383BD5" w:rsidRDefault="00383BD5" w:rsidP="00523EA7">
          <w:pPr>
            <w:pStyle w:val="Zpat"/>
          </w:pPr>
        </w:p>
      </w:tc>
      <w:tc>
        <w:tcPr>
          <w:tcW w:w="5698" w:type="dxa"/>
          <w:shd w:val="clear" w:color="auto" w:fill="auto"/>
          <w:tcMar>
            <w:top w:w="57" w:type="dxa"/>
            <w:left w:w="0" w:type="dxa"/>
            <w:right w:w="0" w:type="dxa"/>
          </w:tcMar>
        </w:tcPr>
        <w:p w14:paraId="283A806D" w14:textId="77777777" w:rsidR="00383BD5" w:rsidRPr="00D6163D" w:rsidRDefault="00383BD5" w:rsidP="00D6163D">
          <w:pPr>
            <w:pStyle w:val="Druhdokumentu"/>
          </w:pPr>
        </w:p>
      </w:tc>
    </w:tr>
  </w:tbl>
  <w:p w14:paraId="0BADE093" w14:textId="77777777" w:rsidR="00383BD5" w:rsidRPr="00D6163D" w:rsidRDefault="00383BD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7"/>
  </w:num>
  <w:num w:numId="13">
    <w:abstractNumId w:val="8"/>
  </w:num>
  <w:num w:numId="14">
    <w:abstractNumId w:val="4"/>
  </w:num>
  <w:num w:numId="15">
    <w:abstractNumId w:val="0"/>
  </w:num>
  <w:num w:numId="16">
    <w:abstractNumId w:val="0"/>
  </w:num>
  <w:num w:numId="17">
    <w:abstractNumId w:val="0"/>
  </w:num>
  <w:num w:numId="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0F23DB"/>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98C"/>
    <w:rsid w:val="00350A35"/>
    <w:rsid w:val="003571D8"/>
    <w:rsid w:val="00357ABC"/>
    <w:rsid w:val="00357BC6"/>
    <w:rsid w:val="00361422"/>
    <w:rsid w:val="0037545D"/>
    <w:rsid w:val="0037606B"/>
    <w:rsid w:val="00381EFC"/>
    <w:rsid w:val="00383BD5"/>
    <w:rsid w:val="0038519D"/>
    <w:rsid w:val="00392910"/>
    <w:rsid w:val="00392EB6"/>
    <w:rsid w:val="003956C6"/>
    <w:rsid w:val="003A197F"/>
    <w:rsid w:val="003A407B"/>
    <w:rsid w:val="003B065F"/>
    <w:rsid w:val="003B5A9F"/>
    <w:rsid w:val="003C33F2"/>
    <w:rsid w:val="003D4C45"/>
    <w:rsid w:val="003D756E"/>
    <w:rsid w:val="003E420D"/>
    <w:rsid w:val="003E4C13"/>
    <w:rsid w:val="003F2CE4"/>
    <w:rsid w:val="003F391C"/>
    <w:rsid w:val="0040517F"/>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2068D"/>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B16A4"/>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2DD4"/>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0534"/>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dicko@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4E8BBC-3683-464F-8F80-5C0CE724B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917</TotalTime>
  <Pages>12</Pages>
  <Words>3457</Words>
  <Characters>20399</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39</cp:revision>
  <cp:lastPrinted>2019-09-27T11:09:00Z</cp:lastPrinted>
  <dcterms:created xsi:type="dcterms:W3CDTF">2021-06-30T11:47:00Z</dcterms:created>
  <dcterms:modified xsi:type="dcterms:W3CDTF">2024-05-03T05:25:00Z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